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7EF7" w14:paraId="3B7C8F23" w14:textId="77777777" w:rsidTr="00A77EF7">
        <w:tc>
          <w:tcPr>
            <w:tcW w:w="10790" w:type="dxa"/>
          </w:tcPr>
          <w:p w14:paraId="6B8F007E" w14:textId="77777777" w:rsidR="00A77EF7" w:rsidRPr="00C71821" w:rsidRDefault="00A77EF7">
            <w:pPr>
              <w:rPr>
                <w:sz w:val="20"/>
                <w:szCs w:val="20"/>
              </w:rPr>
            </w:pPr>
          </w:p>
          <w:p w14:paraId="6812DD2E" w14:textId="77777777" w:rsidR="00A77EF7" w:rsidRPr="00C71821" w:rsidRDefault="00A77EF7" w:rsidP="00A77EF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71821">
              <w:rPr>
                <w:rFonts w:ascii="Arial" w:hAnsi="Arial" w:cs="Arial"/>
                <w:b/>
                <w:color w:val="0070C0"/>
                <w:sz w:val="28"/>
                <w:szCs w:val="28"/>
              </w:rPr>
              <w:t>UNC Geriatric Oncology Training Grant (UNC-GO)</w:t>
            </w:r>
          </w:p>
          <w:p w14:paraId="36BC0DD8" w14:textId="77777777" w:rsidR="00290D31" w:rsidRPr="00C71821" w:rsidRDefault="00290D31">
            <w:pPr>
              <w:rPr>
                <w:sz w:val="20"/>
                <w:szCs w:val="20"/>
              </w:rPr>
            </w:pPr>
          </w:p>
          <w:p w14:paraId="676BF307" w14:textId="77777777" w:rsidR="00A77EF7" w:rsidRPr="00C71821" w:rsidRDefault="00A77EF7" w:rsidP="00A77E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sz w:val="20"/>
                <w:szCs w:val="20"/>
              </w:rPr>
              <w:t xml:space="preserve">The UNC Geriatric Oncology Training Grant (UNC-GO) is a T32 training program of the University of North Carolina at Chapel Hill (UNC) specifically focused on </w:t>
            </w:r>
            <w:r w:rsidRPr="00C71821">
              <w:rPr>
                <w:rFonts w:ascii="Arial" w:hAnsi="Arial" w:cs="Arial"/>
                <w:b/>
                <w:color w:val="0070C0"/>
                <w:sz w:val="20"/>
                <w:szCs w:val="20"/>
              </w:rPr>
              <w:t>training physicians (MDs, DOs) in clinical/</w:t>
            </w:r>
            <w:r w:rsidR="00290D31" w:rsidRPr="00C7182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C71821">
              <w:rPr>
                <w:rFonts w:ascii="Arial" w:hAnsi="Arial" w:cs="Arial"/>
                <w:b/>
                <w:color w:val="0070C0"/>
                <w:sz w:val="20"/>
                <w:szCs w:val="20"/>
              </w:rPr>
              <w:t>translational and/or health services research at the interface of Geriatrics and Oncology</w:t>
            </w:r>
            <w:r w:rsidRPr="00C71821">
              <w:rPr>
                <w:rFonts w:ascii="Arial" w:hAnsi="Arial" w:cs="Arial"/>
                <w:sz w:val="20"/>
                <w:szCs w:val="20"/>
              </w:rPr>
              <w:t>. UNC-GO provides fellowship support for one to two years, with plans to accept one new fellow per year.</w:t>
            </w:r>
          </w:p>
          <w:p w14:paraId="33575266" w14:textId="77777777" w:rsidR="00A77EF7" w:rsidRPr="00C71821" w:rsidRDefault="00A77EF7" w:rsidP="00A77E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00DA63" w14:textId="77777777" w:rsidR="00A77EF7" w:rsidRPr="00C71821" w:rsidRDefault="00A77EF7" w:rsidP="00A77E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sz w:val="20"/>
                <w:szCs w:val="20"/>
              </w:rPr>
              <w:t xml:space="preserve">The UNC-GO Program is co-directed by: </w:t>
            </w:r>
          </w:p>
          <w:p w14:paraId="13C6DECF" w14:textId="77777777" w:rsidR="00A77EF7" w:rsidRPr="00C71821" w:rsidRDefault="00A77EF7" w:rsidP="00A77E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b/>
                <w:bCs/>
                <w:sz w:val="20"/>
                <w:szCs w:val="20"/>
              </w:rPr>
              <w:t>Hyman Muss, MD</w:t>
            </w:r>
            <w:r w:rsidRPr="00C71821">
              <w:rPr>
                <w:rFonts w:ascii="Arial" w:hAnsi="Arial" w:cs="Arial"/>
                <w:sz w:val="20"/>
                <w:szCs w:val="20"/>
              </w:rPr>
              <w:t xml:space="preserve"> -- Mary Jones Hudson Distinguished Professorship in Geriatric Oncology; Director of Geriatric Oncology Program, UNC Lineberger Comprehensive Cancer Center) </w:t>
            </w:r>
          </w:p>
          <w:p w14:paraId="4F5E72AE" w14:textId="77777777" w:rsidR="00A77EF7" w:rsidRPr="00C71821" w:rsidRDefault="00A77EF7" w:rsidP="00A77E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b/>
                <w:bCs/>
                <w:sz w:val="20"/>
                <w:szCs w:val="20"/>
              </w:rPr>
              <w:t>Jan Busby-Whitehead, MD</w:t>
            </w:r>
            <w:r w:rsidRPr="00C71821">
              <w:rPr>
                <w:rFonts w:ascii="Arial" w:hAnsi="Arial" w:cs="Arial"/>
                <w:sz w:val="20"/>
                <w:szCs w:val="20"/>
              </w:rPr>
              <w:t xml:space="preserve"> -- </w:t>
            </w:r>
            <w:r w:rsidRPr="00C71821">
              <w:rPr>
                <w:rFonts w:ascii="Arial" w:eastAsia="Times New Roman" w:hAnsi="Arial" w:cs="Arial"/>
                <w:bCs/>
                <w:sz w:val="20"/>
                <w:szCs w:val="20"/>
              </w:rPr>
              <w:t>Mary and Thomas Hudson Distinguished Professor of Geriatric Medicine</w:t>
            </w:r>
            <w:r w:rsidRPr="00C71821">
              <w:rPr>
                <w:rFonts w:ascii="Arial" w:eastAsia="Times New Roman" w:hAnsi="Arial" w:cs="Arial"/>
                <w:sz w:val="20"/>
                <w:szCs w:val="20"/>
              </w:rPr>
              <w:t xml:space="preserve">; founding </w:t>
            </w:r>
            <w:r w:rsidRPr="00C71821">
              <w:rPr>
                <w:rFonts w:ascii="Arial" w:eastAsia="Times New Roman" w:hAnsi="Arial" w:cs="Arial"/>
                <w:bCs/>
                <w:sz w:val="20"/>
                <w:szCs w:val="20"/>
              </w:rPr>
              <w:t>Chief, Division of Geriatric Medicine</w:t>
            </w:r>
            <w:r w:rsidRPr="00C71821">
              <w:rPr>
                <w:rFonts w:ascii="Arial" w:eastAsia="Times New Roman" w:hAnsi="Arial" w:cs="Arial"/>
                <w:sz w:val="20"/>
                <w:szCs w:val="20"/>
              </w:rPr>
              <w:t xml:space="preserve">; founding </w:t>
            </w:r>
            <w:r w:rsidRPr="00C71821">
              <w:rPr>
                <w:rFonts w:ascii="Arial" w:eastAsia="Times New Roman" w:hAnsi="Arial" w:cs="Arial"/>
                <w:bCs/>
                <w:sz w:val="20"/>
                <w:szCs w:val="20"/>
              </w:rPr>
              <w:t>Director, Center for Aging and Health</w:t>
            </w:r>
            <w:r w:rsidRPr="00C71821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C71821">
              <w:rPr>
                <w:rFonts w:ascii="Arial" w:eastAsia="Times New Roman" w:hAnsi="Arial" w:cs="Arial"/>
                <w:bCs/>
                <w:sz w:val="20"/>
                <w:szCs w:val="20"/>
              </w:rPr>
              <w:t>Director, Hartford Center of Excellence in Geriatric Medicin</w:t>
            </w:r>
            <w:r w:rsidRPr="00C71821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</w:p>
          <w:p w14:paraId="756261FD" w14:textId="77777777" w:rsidR="00A77EF7" w:rsidRPr="00C71821" w:rsidRDefault="00A77EF7" w:rsidP="00A77E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560C83" w14:textId="77777777" w:rsidR="00A77EF7" w:rsidRPr="00C71821" w:rsidRDefault="00A77EF7" w:rsidP="0029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sz w:val="20"/>
                <w:szCs w:val="20"/>
              </w:rPr>
              <w:t xml:space="preserve">UNC-GO is focused solely on the training of residents and fellows enrolled in American Board of Medical Specialties (ABMS) certified programs in </w:t>
            </w:r>
            <w:r w:rsidRPr="00C71821">
              <w:rPr>
                <w:rFonts w:ascii="Arial" w:hAnsi="Arial" w:cs="Arial"/>
                <w:b/>
                <w:color w:val="0070C0"/>
                <w:sz w:val="20"/>
                <w:szCs w:val="20"/>
              </w:rPr>
              <w:t>Medicine, Surgery, Gynecology, Radiation or Urology</w:t>
            </w:r>
            <w:r w:rsidRPr="00C7182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71821">
              <w:rPr>
                <w:rFonts w:ascii="Arial" w:hAnsi="Arial" w:cs="Arial"/>
                <w:sz w:val="20"/>
                <w:szCs w:val="20"/>
              </w:rPr>
              <w:t xml:space="preserve">who plan to </w:t>
            </w:r>
            <w:r w:rsidRPr="00C71821">
              <w:rPr>
                <w:rFonts w:ascii="Arial" w:hAnsi="Arial" w:cs="Arial"/>
                <w:b/>
                <w:color w:val="0070C0"/>
                <w:sz w:val="20"/>
                <w:szCs w:val="20"/>
              </w:rPr>
              <w:t>pursue academic careers in Oncology with a focus on older patients</w:t>
            </w:r>
            <w:r w:rsidRPr="00C71821">
              <w:rPr>
                <w:rFonts w:ascii="Arial" w:hAnsi="Arial" w:cs="Arial"/>
                <w:sz w:val="20"/>
                <w:szCs w:val="20"/>
              </w:rPr>
              <w:t xml:space="preserve">. Our overarching goal is to develop a cadre of physician/scholars who can provide national leadership in the growing research field of Geriatric Oncology. </w:t>
            </w:r>
          </w:p>
          <w:p w14:paraId="322AE31E" w14:textId="77777777" w:rsidR="00A77EF7" w:rsidRPr="00C71821" w:rsidRDefault="00A77EF7" w:rsidP="00A77EF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57D476" w14:textId="77777777" w:rsidR="00A77EF7" w:rsidRPr="00C71821" w:rsidRDefault="00A77EF7" w:rsidP="00A77E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sz w:val="20"/>
                <w:szCs w:val="20"/>
              </w:rPr>
              <w:t xml:space="preserve">Our specific focus -- Geriatric Oncology – is unique as it provides training in Geriatrics which is essential to developing the highest quality research studies for older cancer </w:t>
            </w:r>
            <w:proofErr w:type="gramStart"/>
            <w:r w:rsidRPr="00C71821">
              <w:rPr>
                <w:rFonts w:ascii="Arial" w:hAnsi="Arial" w:cs="Arial"/>
                <w:sz w:val="20"/>
                <w:szCs w:val="20"/>
              </w:rPr>
              <w:t>patients, and</w:t>
            </w:r>
            <w:proofErr w:type="gramEnd"/>
            <w:r w:rsidRPr="00C71821">
              <w:rPr>
                <w:rFonts w:ascii="Arial" w:hAnsi="Arial" w:cs="Arial"/>
                <w:sz w:val="20"/>
                <w:szCs w:val="20"/>
              </w:rPr>
              <w:t xml:space="preserve"> partnering senior geriatricians and oncologists to provide mentorship for research projects. </w:t>
            </w:r>
            <w:r w:rsidRPr="00C71821">
              <w:rPr>
                <w:rFonts w:ascii="Arial" w:hAnsi="Arial" w:cs="Arial"/>
                <w:b/>
                <w:color w:val="0070C0"/>
                <w:sz w:val="20"/>
                <w:szCs w:val="20"/>
              </w:rPr>
              <w:t>UNC-GO trainees will</w:t>
            </w:r>
            <w:r w:rsidRPr="00C7182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E7E6F2F" w14:textId="77777777" w:rsidR="00A77EF7" w:rsidRPr="00C71821" w:rsidRDefault="00A77EF7" w:rsidP="00A77E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sz w:val="20"/>
                <w:szCs w:val="20"/>
                <w:u w:val="single"/>
              </w:rPr>
              <w:t>Learn the fundamental principles of Geriatric care including basic principles of Geriatrics</w:t>
            </w:r>
            <w:r w:rsidRPr="00C71821">
              <w:rPr>
                <w:rFonts w:ascii="Arial" w:hAnsi="Arial" w:cs="Arial"/>
                <w:sz w:val="20"/>
                <w:szCs w:val="20"/>
              </w:rPr>
              <w:t xml:space="preserve"> that will include both didactic and clinical experiences and training in research methods.  </w:t>
            </w:r>
          </w:p>
          <w:p w14:paraId="037C4062" w14:textId="77777777" w:rsidR="00A77EF7" w:rsidRPr="00C71821" w:rsidRDefault="00A77EF7" w:rsidP="00A77E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sz w:val="20"/>
                <w:szCs w:val="20"/>
                <w:u w:val="single"/>
              </w:rPr>
              <w:t>Understand the breadth of research at the interface of Geriatrics and Oncology</w:t>
            </w:r>
            <w:r w:rsidRPr="00C71821">
              <w:rPr>
                <w:rFonts w:ascii="Arial" w:hAnsi="Arial" w:cs="Arial"/>
                <w:sz w:val="20"/>
                <w:szCs w:val="20"/>
              </w:rPr>
              <w:t>, with an emphasis on acquiring methodologic skills for conducting translational/clinical and/or health services research focused on treatment, quality of life, and survival issues relevant to older persons diagnosed with cancer.</w:t>
            </w:r>
          </w:p>
          <w:p w14:paraId="50BEAF11" w14:textId="77777777" w:rsidR="00A77EF7" w:rsidRPr="00C71821" w:rsidRDefault="00A77EF7" w:rsidP="00A77E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sz w:val="20"/>
                <w:szCs w:val="20"/>
              </w:rPr>
              <w:t>Develop research expertise by developing and implementing</w:t>
            </w:r>
            <w:r w:rsidRPr="00C71821">
              <w:rPr>
                <w:rFonts w:ascii="Arial" w:hAnsi="Arial" w:cs="Arial"/>
                <w:sz w:val="20"/>
                <w:szCs w:val="20"/>
                <w:u w:val="single"/>
              </w:rPr>
              <w:t xml:space="preserve"> mentored research projects as they relate to clinical/translation and/or health services research in older cancer patients</w:t>
            </w:r>
            <w:r w:rsidRPr="00C71821">
              <w:rPr>
                <w:rFonts w:ascii="Arial" w:hAnsi="Arial" w:cs="Arial"/>
                <w:sz w:val="20"/>
                <w:szCs w:val="20"/>
              </w:rPr>
              <w:t xml:space="preserve"> with publication of at least one geriatric oncology research project during the training grant period.</w:t>
            </w:r>
          </w:p>
          <w:p w14:paraId="3E4EF33F" w14:textId="77777777" w:rsidR="00A77EF7" w:rsidRPr="00C71821" w:rsidRDefault="00A77EF7" w:rsidP="00A77E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sz w:val="20"/>
                <w:szCs w:val="20"/>
                <w:u w:val="single"/>
              </w:rPr>
              <w:t>Develop professional skills required for successful physician/scholar careers</w:t>
            </w:r>
            <w:r w:rsidRPr="00C71821">
              <w:rPr>
                <w:rFonts w:ascii="Arial" w:hAnsi="Arial" w:cs="Arial"/>
                <w:sz w:val="20"/>
                <w:szCs w:val="20"/>
              </w:rPr>
              <w:t>, including identifying a research topic and developing research questions, designing a research plan, presenting research findings, writing for publication, and securing research funding.</w:t>
            </w:r>
          </w:p>
          <w:p w14:paraId="75D68A15" w14:textId="77777777" w:rsidR="00A77EF7" w:rsidRPr="00C71821" w:rsidRDefault="00A77EF7" w:rsidP="00A77EF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7C2B6F" w14:textId="77777777" w:rsidR="00290D31" w:rsidRPr="00C71821" w:rsidRDefault="00290D31" w:rsidP="00290D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821">
              <w:rPr>
                <w:rFonts w:ascii="Arial" w:hAnsi="Arial" w:cs="Arial"/>
                <w:sz w:val="20"/>
                <w:szCs w:val="20"/>
              </w:rPr>
              <w:t>The UNC-GO program trains, mentors, and develops Geriatric Oncology trainees through: (1) a specialized core curriculum; (2) a mentored research experience; and (3) professional development enrichment activities. The UNC-GO program emphasizes research training that is flexible and tailored to meet each trainee’s needs while promoting a multidisciplinary and collaborative approach to Geriatric Oncology research.</w:t>
            </w:r>
          </w:p>
          <w:p w14:paraId="309B1911" w14:textId="77777777" w:rsidR="00290D31" w:rsidRPr="00C71821" w:rsidRDefault="00290D31" w:rsidP="00A77EF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1D6F8D" w14:textId="2BB7A4D2" w:rsidR="00290D31" w:rsidRPr="00C71821" w:rsidRDefault="00290D31" w:rsidP="00A77E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1821">
              <w:rPr>
                <w:rFonts w:ascii="Arial" w:eastAsia="Arial" w:hAnsi="Arial" w:cs="Arial"/>
                <w:b/>
                <w:color w:val="0070C0"/>
                <w:spacing w:val="3"/>
                <w:sz w:val="20"/>
                <w:szCs w:val="20"/>
              </w:rPr>
              <w:t>A</w:t>
            </w:r>
            <w:r w:rsidRPr="00C71821">
              <w:rPr>
                <w:rFonts w:ascii="Arial" w:eastAsia="Arial" w:hAnsi="Arial" w:cs="Arial"/>
                <w:b/>
                <w:color w:val="0070C0"/>
                <w:spacing w:val="2"/>
                <w:sz w:val="20"/>
                <w:szCs w:val="20"/>
              </w:rPr>
              <w:t>pp</w:t>
            </w:r>
            <w:r w:rsidRPr="00C71821">
              <w:rPr>
                <w:rFonts w:ascii="Arial" w:eastAsia="Arial" w:hAnsi="Arial" w:cs="Arial"/>
                <w:b/>
                <w:color w:val="0070C0"/>
                <w:spacing w:val="1"/>
                <w:sz w:val="20"/>
                <w:szCs w:val="20"/>
              </w:rPr>
              <w:t>li</w:t>
            </w:r>
            <w:r w:rsidRPr="00C71821">
              <w:rPr>
                <w:rFonts w:ascii="Arial" w:eastAsia="Arial" w:hAnsi="Arial" w:cs="Arial"/>
                <w:b/>
                <w:color w:val="0070C0"/>
                <w:spacing w:val="2"/>
                <w:sz w:val="20"/>
                <w:szCs w:val="20"/>
              </w:rPr>
              <w:t>ca</w:t>
            </w:r>
            <w:r w:rsidRPr="00C71821">
              <w:rPr>
                <w:rFonts w:ascii="Arial" w:eastAsia="Arial" w:hAnsi="Arial" w:cs="Arial"/>
                <w:b/>
                <w:color w:val="0070C0"/>
                <w:spacing w:val="1"/>
                <w:sz w:val="20"/>
                <w:szCs w:val="20"/>
              </w:rPr>
              <w:t>ti</w:t>
            </w:r>
            <w:r w:rsidRPr="00C71821">
              <w:rPr>
                <w:rFonts w:ascii="Arial" w:eastAsia="Arial" w:hAnsi="Arial" w:cs="Arial"/>
                <w:b/>
                <w:color w:val="0070C0"/>
                <w:spacing w:val="2"/>
                <w:sz w:val="20"/>
                <w:szCs w:val="20"/>
              </w:rPr>
              <w:t>on</w:t>
            </w:r>
            <w:r w:rsidRPr="00C71821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s</w:t>
            </w:r>
            <w:r w:rsidRPr="00C71821">
              <w:rPr>
                <w:rFonts w:ascii="Arial" w:eastAsia="Arial" w:hAnsi="Arial" w:cs="Arial"/>
                <w:b/>
                <w:color w:val="0070C0"/>
                <w:spacing w:val="42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b/>
                <w:color w:val="0070C0"/>
                <w:spacing w:val="2"/>
                <w:sz w:val="20"/>
                <w:szCs w:val="20"/>
              </w:rPr>
              <w:t>a</w:t>
            </w:r>
            <w:r w:rsidRPr="00C71821">
              <w:rPr>
                <w:rFonts w:ascii="Arial" w:eastAsia="Arial" w:hAnsi="Arial" w:cs="Arial"/>
                <w:b/>
                <w:color w:val="0070C0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e </w:t>
            </w:r>
            <w:r w:rsidRPr="00C71821">
              <w:rPr>
                <w:rFonts w:ascii="Arial" w:eastAsia="Arial" w:hAnsi="Arial" w:cs="Arial"/>
                <w:b/>
                <w:color w:val="0070C0"/>
                <w:spacing w:val="2"/>
                <w:sz w:val="20"/>
                <w:szCs w:val="20"/>
              </w:rPr>
              <w:t>eva</w:t>
            </w:r>
            <w:r w:rsidRPr="00C71821">
              <w:rPr>
                <w:rFonts w:ascii="Arial" w:eastAsia="Arial" w:hAnsi="Arial" w:cs="Arial"/>
                <w:b/>
                <w:color w:val="0070C0"/>
                <w:spacing w:val="1"/>
                <w:sz w:val="20"/>
                <w:szCs w:val="20"/>
              </w:rPr>
              <w:t>l</w:t>
            </w:r>
            <w:r w:rsidRPr="00C71821">
              <w:rPr>
                <w:rFonts w:ascii="Arial" w:eastAsia="Arial" w:hAnsi="Arial" w:cs="Arial"/>
                <w:b/>
                <w:color w:val="0070C0"/>
                <w:spacing w:val="2"/>
                <w:sz w:val="20"/>
                <w:szCs w:val="20"/>
              </w:rPr>
              <w:t>ua</w:t>
            </w:r>
            <w:r w:rsidRPr="00C71821">
              <w:rPr>
                <w:rFonts w:ascii="Arial" w:eastAsia="Arial" w:hAnsi="Arial" w:cs="Arial"/>
                <w:b/>
                <w:color w:val="0070C0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b/>
                <w:color w:val="0070C0"/>
                <w:spacing w:val="2"/>
                <w:sz w:val="20"/>
                <w:szCs w:val="20"/>
              </w:rPr>
              <w:t>e</w:t>
            </w:r>
            <w:r w:rsidRPr="00C71821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d</w:t>
            </w:r>
            <w:r w:rsidRPr="00C71821">
              <w:rPr>
                <w:rFonts w:ascii="Arial" w:eastAsia="Arial" w:hAnsi="Arial" w:cs="Arial"/>
                <w:b/>
                <w:color w:val="0070C0"/>
                <w:spacing w:val="38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b/>
                <w:color w:val="0070C0"/>
                <w:spacing w:val="2"/>
                <w:sz w:val="20"/>
                <w:szCs w:val="20"/>
              </w:rPr>
              <w:t>base</w:t>
            </w:r>
            <w:r w:rsidRPr="00C71821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d</w:t>
            </w:r>
            <w:r w:rsidRPr="00C7182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7182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C7182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eco</w:t>
            </w:r>
            <w:r w:rsidRPr="00C71821">
              <w:rPr>
                <w:rFonts w:ascii="Arial" w:eastAsia="Arial" w:hAnsi="Arial" w:cs="Arial"/>
                <w:spacing w:val="3"/>
                <w:sz w:val="20"/>
                <w:szCs w:val="20"/>
              </w:rPr>
              <w:t>mm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enda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71821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p</w:t>
            </w:r>
            <w:r w:rsidRPr="00C7182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ev</w:t>
            </w:r>
            <w:r w:rsidRPr="00C7182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C7182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 xml:space="preserve">ous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esea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71821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expe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ence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ev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denc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C71821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ndependence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C71821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rit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71821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des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ir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71821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71821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71821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esea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ch relevant to Geriatric Oncology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71821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a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pe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sona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C71821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C7182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71821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app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can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tli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C71821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pas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esea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C71821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expe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ence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71821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71821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71821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goa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7182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71821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expec</w:t>
            </w:r>
            <w:r w:rsidRPr="00C7182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C7182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ti</w:t>
            </w:r>
            <w:r w:rsidRPr="00C7182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ons</w:t>
            </w:r>
            <w:r w:rsidRPr="00C7182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. </w:t>
            </w:r>
            <w:r w:rsidRPr="00C7182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ec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it</w:t>
            </w:r>
            <w:r w:rsidRPr="00C71821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C7182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unde</w:t>
            </w:r>
            <w:r w:rsidRPr="00C7182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rr</w:t>
            </w:r>
            <w:r w:rsidRPr="00C7182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ep</w:t>
            </w:r>
            <w:r w:rsidRPr="00C7182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esen</w:t>
            </w:r>
            <w:r w:rsidRPr="00C71821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e</w:t>
            </w:r>
            <w:r w:rsidRPr="00C71821"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d </w:t>
            </w:r>
            <w:r w:rsidRPr="00C71821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no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rit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C71821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uden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7182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71821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uden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7182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C7182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sadvan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age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71821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backg</w:t>
            </w:r>
            <w:r w:rsidRPr="00C7182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71821">
              <w:rPr>
                <w:rFonts w:ascii="Arial" w:eastAsia="Arial" w:hAnsi="Arial" w:cs="Arial"/>
                <w:spacing w:val="2"/>
                <w:sz w:val="20"/>
                <w:szCs w:val="20"/>
              </w:rPr>
              <w:t>ound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 xml:space="preserve">s is a high priority. </w:t>
            </w:r>
            <w:r w:rsidR="007844B8">
              <w:rPr>
                <w:rFonts w:ascii="Arial" w:eastAsia="Arial" w:hAnsi="Arial" w:cs="Arial"/>
                <w:sz w:val="20"/>
                <w:szCs w:val="20"/>
              </w:rPr>
              <w:t>UNC</w:t>
            </w:r>
            <w:r w:rsidR="00C71821">
              <w:rPr>
                <w:rFonts w:ascii="Arial" w:eastAsia="Arial" w:hAnsi="Arial" w:cs="Arial"/>
                <w:sz w:val="20"/>
                <w:szCs w:val="20"/>
              </w:rPr>
              <w:t xml:space="preserve"> accepts only J1 visas and permanent residents. </w:t>
            </w:r>
            <w:r w:rsidR="00C71821" w:rsidRPr="00421902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Applications should be submitted </w:t>
            </w:r>
            <w:r w:rsidR="00421902" w:rsidRPr="00421902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by </w:t>
            </w:r>
            <w:r w:rsidR="008118DC">
              <w:rPr>
                <w:rFonts w:ascii="Arial" w:eastAsia="Arial" w:hAnsi="Arial" w:cs="Arial"/>
                <w:sz w:val="20"/>
                <w:szCs w:val="20"/>
                <w:highlight w:val="green"/>
              </w:rPr>
              <w:t>February</w:t>
            </w:r>
            <w:r w:rsidR="00BF3350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15</w:t>
            </w:r>
            <w:r w:rsidR="00421902" w:rsidRPr="00421902">
              <w:rPr>
                <w:rFonts w:ascii="Arial" w:eastAsia="Arial" w:hAnsi="Arial" w:cs="Arial"/>
                <w:sz w:val="20"/>
                <w:szCs w:val="20"/>
                <w:highlight w:val="green"/>
              </w:rPr>
              <w:t>,</w:t>
            </w:r>
            <w:r w:rsidR="00D07B5B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2023</w:t>
            </w:r>
            <w:r w:rsidR="00421902" w:rsidRPr="00421902">
              <w:rPr>
                <w:rFonts w:ascii="Arial" w:eastAsia="Arial" w:hAnsi="Arial" w:cs="Arial"/>
                <w:sz w:val="20"/>
                <w:szCs w:val="20"/>
                <w:highlight w:val="green"/>
              </w:rPr>
              <w:t xml:space="preserve"> fo</w:t>
            </w:r>
            <w:r w:rsidR="008118DC">
              <w:rPr>
                <w:rFonts w:ascii="Arial" w:eastAsia="Arial" w:hAnsi="Arial" w:cs="Arial"/>
                <w:sz w:val="20"/>
                <w:szCs w:val="20"/>
                <w:highlight w:val="green"/>
              </w:rPr>
              <w:t>r a start date of August 1, 202</w:t>
            </w:r>
            <w:r w:rsidR="00D07B5B">
              <w:rPr>
                <w:rFonts w:ascii="Arial" w:eastAsia="Arial" w:hAnsi="Arial" w:cs="Arial"/>
                <w:sz w:val="20"/>
                <w:szCs w:val="20"/>
                <w:highlight w:val="green"/>
              </w:rPr>
              <w:t>3</w:t>
            </w:r>
            <w:r w:rsidR="00421902" w:rsidRPr="00421902">
              <w:rPr>
                <w:rFonts w:ascii="Arial" w:eastAsia="Arial" w:hAnsi="Arial" w:cs="Arial"/>
                <w:sz w:val="20"/>
                <w:szCs w:val="20"/>
                <w:highlight w:val="green"/>
              </w:rPr>
              <w:t>.</w:t>
            </w:r>
          </w:p>
          <w:p w14:paraId="094D4DEA" w14:textId="77777777" w:rsidR="00C71821" w:rsidRPr="00C71821" w:rsidRDefault="00C71821" w:rsidP="00A77EF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B2CDBD" w14:textId="0421C4C3" w:rsidR="0019068C" w:rsidRPr="00DA1774" w:rsidRDefault="00C71821" w:rsidP="00DA1774">
            <w:pPr>
              <w:rPr>
                <w:rFonts w:eastAsia="Times New Roman"/>
              </w:rPr>
            </w:pPr>
            <w:r w:rsidRPr="00C71821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How to Apply</w:t>
            </w:r>
            <w:r w:rsidRPr="00C71821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DA17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DA1774" w:rsidRPr="00DA1774">
                <w:rPr>
                  <w:rStyle w:val="Hyperlink"/>
                  <w:rFonts w:eastAsia="Times New Roman"/>
                  <w:sz w:val="20"/>
                  <w:szCs w:val="20"/>
                  <w:shd w:val="clear" w:color="auto" w:fill="FFFFFF"/>
                </w:rPr>
                <w:t>https://unclineberger.org/training/research-fellowships/cancer-research-training-programs-application/</w:t>
              </w:r>
            </w:hyperlink>
            <w:r w:rsidR="001906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8BD3A7" w14:textId="77777777" w:rsidR="0019068C" w:rsidRDefault="00C71821" w:rsidP="0019068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068C">
              <w:rPr>
                <w:rFonts w:ascii="Arial" w:eastAsia="Times New Roman" w:hAnsi="Arial" w:cs="Arial"/>
                <w:sz w:val="20"/>
                <w:szCs w:val="20"/>
              </w:rPr>
              <w:t xml:space="preserve">Personal statement describing your </w:t>
            </w:r>
            <w:proofErr w:type="gramStart"/>
            <w:r w:rsidRPr="0019068C">
              <w:rPr>
                <w:rFonts w:ascii="Arial" w:eastAsia="Times New Roman" w:hAnsi="Arial" w:cs="Arial"/>
                <w:sz w:val="20"/>
                <w:szCs w:val="20"/>
              </w:rPr>
              <w:t>long term</w:t>
            </w:r>
            <w:proofErr w:type="gramEnd"/>
            <w:r w:rsidRPr="0019068C">
              <w:rPr>
                <w:rFonts w:ascii="Arial" w:eastAsia="Times New Roman" w:hAnsi="Arial" w:cs="Arial"/>
                <w:sz w:val="20"/>
                <w:szCs w:val="20"/>
              </w:rPr>
              <w:t xml:space="preserve"> career goals and plans for research</w:t>
            </w:r>
            <w:r w:rsidR="007844B8">
              <w:rPr>
                <w:rFonts w:ascii="Arial" w:eastAsia="Times New Roman" w:hAnsi="Arial" w:cs="Arial"/>
                <w:sz w:val="20"/>
                <w:szCs w:val="20"/>
              </w:rPr>
              <w:t xml:space="preserve"> (2 pages max)</w:t>
            </w:r>
            <w:r w:rsidRPr="0019068C">
              <w:rPr>
                <w:rFonts w:ascii="Arial" w:eastAsia="Times New Roman" w:hAnsi="Arial" w:cs="Arial"/>
                <w:sz w:val="20"/>
                <w:szCs w:val="20"/>
              </w:rPr>
              <w:t>. It is especially helpful if you identify areas of research interest (either by tumor type of interest or research methodology)</w:t>
            </w:r>
          </w:p>
          <w:p w14:paraId="7A43A194" w14:textId="77777777" w:rsidR="00C71821" w:rsidRPr="0019068C" w:rsidRDefault="0019068C" w:rsidP="0019068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Three letters of recommendation</w:t>
            </w:r>
          </w:p>
          <w:p w14:paraId="0F9AAAE5" w14:textId="77777777" w:rsidR="0019068C" w:rsidRDefault="007844B8" w:rsidP="0019068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CV</w:t>
            </w:r>
          </w:p>
          <w:p w14:paraId="3B9ADE0C" w14:textId="77777777" w:rsidR="0019068C" w:rsidRDefault="0019068C" w:rsidP="00C71821">
            <w:pPr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</w:p>
          <w:p w14:paraId="3F453772" w14:textId="77777777" w:rsidR="00A77EF7" w:rsidRDefault="007844B8" w:rsidP="00C7182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Contacts</w:t>
            </w:r>
            <w:r w:rsidR="0019068C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:</w:t>
            </w:r>
          </w:p>
          <w:p w14:paraId="5D6CD605" w14:textId="77777777" w:rsidR="0019068C" w:rsidRDefault="0019068C" w:rsidP="0019068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Hyman B. Muss, MD (UNC-GO Co-Director) – </w:t>
            </w:r>
            <w:hyperlink r:id="rId8" w:history="1">
              <w:r w:rsidRPr="004222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hyman_muss@med.unc.edu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35B7434" w14:textId="77777777" w:rsidR="0019068C" w:rsidRDefault="0019068C" w:rsidP="0019068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Jan Busby-Whitehead, MD (UNC-GO Co-Director) – </w:t>
            </w:r>
            <w:hyperlink r:id="rId9" w:history="1">
              <w:r w:rsidRPr="004222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Jan_Busby-Whitehead@med.unc.edu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85C86E" w14:textId="77777777" w:rsidR="007844B8" w:rsidRDefault="0019068C" w:rsidP="007844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Kirsten. A. Nyrop, PhD – </w:t>
            </w:r>
            <w:hyperlink r:id="rId10" w:history="1">
              <w:r w:rsidRPr="004222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knyrop@med.unc.edu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67001F" w14:textId="77777777" w:rsidR="007844B8" w:rsidRPr="007844B8" w:rsidRDefault="007844B8" w:rsidP="007844B8">
            <w:pPr>
              <w:pStyle w:val="ListParagraph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8BFE71" w14:textId="77777777" w:rsidR="00193A21" w:rsidRDefault="00DA1774"/>
    <w:sectPr w:rsidR="00193A21" w:rsidSect="00A77EF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E67E" w14:textId="77777777" w:rsidR="007844B8" w:rsidRDefault="007844B8" w:rsidP="007844B8">
      <w:pPr>
        <w:spacing w:after="0" w:line="240" w:lineRule="auto"/>
      </w:pPr>
      <w:r>
        <w:separator/>
      </w:r>
    </w:p>
  </w:endnote>
  <w:endnote w:type="continuationSeparator" w:id="0">
    <w:p w14:paraId="26D4BB74" w14:textId="77777777" w:rsidR="007844B8" w:rsidRDefault="007844B8" w:rsidP="0078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4509" w14:textId="77777777" w:rsidR="007844B8" w:rsidRDefault="00BF3350">
    <w:pPr>
      <w:pStyle w:val="Footer"/>
    </w:pPr>
    <w:r>
      <w:t>October 22, 2020</w:t>
    </w:r>
  </w:p>
  <w:p w14:paraId="7C761400" w14:textId="77777777" w:rsidR="007844B8" w:rsidRDefault="00784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0EE3" w14:textId="77777777" w:rsidR="007844B8" w:rsidRDefault="007844B8" w:rsidP="007844B8">
      <w:pPr>
        <w:spacing w:after="0" w:line="240" w:lineRule="auto"/>
      </w:pPr>
      <w:r>
        <w:separator/>
      </w:r>
    </w:p>
  </w:footnote>
  <w:footnote w:type="continuationSeparator" w:id="0">
    <w:p w14:paraId="32CF920A" w14:textId="77777777" w:rsidR="007844B8" w:rsidRDefault="007844B8" w:rsidP="0078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C06"/>
    <w:multiLevelType w:val="hybridMultilevel"/>
    <w:tmpl w:val="FEBE4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A349A"/>
    <w:multiLevelType w:val="hybridMultilevel"/>
    <w:tmpl w:val="64C67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F0A68"/>
    <w:multiLevelType w:val="hybridMultilevel"/>
    <w:tmpl w:val="ADAC4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15FF5"/>
    <w:multiLevelType w:val="hybridMultilevel"/>
    <w:tmpl w:val="ED768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00398"/>
    <w:multiLevelType w:val="multilevel"/>
    <w:tmpl w:val="40009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762073333">
    <w:abstractNumId w:val="1"/>
  </w:num>
  <w:num w:numId="2" w16cid:durableId="1659770973">
    <w:abstractNumId w:val="3"/>
  </w:num>
  <w:num w:numId="3" w16cid:durableId="1637030258">
    <w:abstractNumId w:val="4"/>
  </w:num>
  <w:num w:numId="4" w16cid:durableId="1268662014">
    <w:abstractNumId w:val="2"/>
  </w:num>
  <w:num w:numId="5" w16cid:durableId="57147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F7"/>
    <w:rsid w:val="0019068C"/>
    <w:rsid w:val="00290D31"/>
    <w:rsid w:val="002E25F8"/>
    <w:rsid w:val="00421902"/>
    <w:rsid w:val="004D7979"/>
    <w:rsid w:val="005C7EBA"/>
    <w:rsid w:val="00607F28"/>
    <w:rsid w:val="007844B8"/>
    <w:rsid w:val="008118DC"/>
    <w:rsid w:val="00A05BB9"/>
    <w:rsid w:val="00A77EF7"/>
    <w:rsid w:val="00BF3350"/>
    <w:rsid w:val="00C71821"/>
    <w:rsid w:val="00D07B5B"/>
    <w:rsid w:val="00DA1774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7DAC"/>
  <w15:chartTrackingRefBased/>
  <w15:docId w15:val="{253673C0-C66D-41BA-9A36-96DE57A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77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8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B8"/>
  </w:style>
  <w:style w:type="paragraph" w:styleId="Footer">
    <w:name w:val="footer"/>
    <w:basedOn w:val="Normal"/>
    <w:link w:val="FooterChar"/>
    <w:uiPriority w:val="99"/>
    <w:unhideWhenUsed/>
    <w:rsid w:val="0078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B8"/>
  </w:style>
  <w:style w:type="paragraph" w:styleId="BalloonText">
    <w:name w:val="Balloon Text"/>
    <w:basedOn w:val="Normal"/>
    <w:link w:val="BalloonTextChar"/>
    <w:uiPriority w:val="99"/>
    <w:semiHidden/>
    <w:unhideWhenUsed/>
    <w:rsid w:val="002E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man_muss@med.un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clineberger.org/training/research-fellowships/cancer-research-training-programs-applic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nyrop@med.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_Busby-Whitehead@med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Nyrop, Kirsten A</dc:creator>
  <cp:keywords/>
  <dc:description/>
  <cp:lastModifiedBy>Nyrop, Kirsten A</cp:lastModifiedBy>
  <cp:revision>3</cp:revision>
  <cp:lastPrinted>2019-10-10T17:34:00Z</cp:lastPrinted>
  <dcterms:created xsi:type="dcterms:W3CDTF">2022-11-16T15:10:00Z</dcterms:created>
  <dcterms:modified xsi:type="dcterms:W3CDTF">2022-11-16T15:27:00Z</dcterms:modified>
</cp:coreProperties>
</file>